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BE" w:rsidRPr="003F4BBE" w:rsidRDefault="003F4BBE" w:rsidP="003F4BBE">
      <w:pPr>
        <w:jc w:val="both"/>
        <w:rPr>
          <w:i/>
          <w:lang w:eastAsia="es-ES"/>
        </w:rPr>
      </w:pPr>
      <w:r w:rsidRPr="003F4BBE">
        <w:rPr>
          <w:lang w:eastAsia="es-ES"/>
        </w:rPr>
        <w:t>Tal y como se establece en el nuevo artículo 116ter de la Ley de Bases de Régimen Local, desarrollado por la Ley 27/2013, de 27 de diciembre, de racionalización y sostenibilidad de la Administración Local, “</w:t>
      </w:r>
      <w:r w:rsidRPr="003F4BBE">
        <w:rPr>
          <w:i/>
          <w:lang w:eastAsia="es-ES"/>
        </w:rPr>
        <w:t>Todas las Entidades Locales calcularán antes del día 1 de noviembre de cada año el coste efectivo de los servicios que prestan, partiendo de los datos contenidos en la liquidación del presupuesto general y, en su caso, de las cuentas anuales aprobadas de las entidades vinculadas o dependientes, correspondiente al ejercicio inmediato anterior</w:t>
      </w:r>
      <w:r>
        <w:rPr>
          <w:i/>
          <w:lang w:eastAsia="es-ES"/>
        </w:rPr>
        <w:t xml:space="preserve">. </w:t>
      </w:r>
      <w:r w:rsidRPr="003F4BBE">
        <w:rPr>
          <w:i/>
          <w:lang w:eastAsia="es-ES"/>
        </w:rPr>
        <w:t>Por Orden del Ministro de Hacienda y</w:t>
      </w:r>
      <w:r>
        <w:rPr>
          <w:i/>
          <w:lang w:eastAsia="es-ES"/>
        </w:rPr>
        <w:t xml:space="preserve"> </w:t>
      </w:r>
      <w:r w:rsidRPr="003F4BBE">
        <w:rPr>
          <w:i/>
          <w:lang w:eastAsia="es-ES"/>
        </w:rPr>
        <w:t>Administraciones Públicas se desarrollarán estos criterios de cálculo</w:t>
      </w:r>
      <w:r>
        <w:rPr>
          <w:i/>
          <w:lang w:eastAsia="es-ES"/>
        </w:rPr>
        <w:t>. T</w:t>
      </w:r>
      <w:r w:rsidRPr="003F4BBE">
        <w:rPr>
          <w:i/>
          <w:lang w:eastAsia="es-ES"/>
        </w:rPr>
        <w:t>odas las Entidades Locales comunicarán los costes efectivos de cada uno</w:t>
      </w:r>
      <w:r>
        <w:rPr>
          <w:i/>
          <w:lang w:eastAsia="es-ES"/>
        </w:rPr>
        <w:t xml:space="preserve"> </w:t>
      </w:r>
      <w:r w:rsidRPr="003F4BBE">
        <w:rPr>
          <w:i/>
          <w:lang w:eastAsia="es-ES"/>
        </w:rPr>
        <w:t>de los servicios al Ministerio de Hacienda y Administraciones Públicas para su</w:t>
      </w:r>
      <w:r>
        <w:rPr>
          <w:i/>
          <w:lang w:eastAsia="es-ES"/>
        </w:rPr>
        <w:t xml:space="preserve"> </w:t>
      </w:r>
      <w:r w:rsidRPr="003F4BBE">
        <w:rPr>
          <w:i/>
          <w:lang w:eastAsia="es-ES"/>
        </w:rPr>
        <w:t>publicación</w:t>
      </w:r>
      <w:r>
        <w:rPr>
          <w:i/>
          <w:lang w:eastAsia="es-ES"/>
        </w:rPr>
        <w:t>”.</w:t>
      </w:r>
    </w:p>
    <w:p w:rsidR="003F4BBE" w:rsidRDefault="003F4BBE" w:rsidP="003F4BBE">
      <w:pPr>
        <w:jc w:val="both"/>
        <w:rPr>
          <w:lang w:eastAsia="es-ES"/>
        </w:rPr>
      </w:pPr>
      <w:r>
        <w:rPr>
          <w:lang w:eastAsia="es-ES"/>
        </w:rPr>
        <w:t>Excepcionalmente, para el año 2014, la información viene referida a las áreas de gasto por programas, según la liquidación del presupuesto 2013, tal y como queda establecido en la Orden HAP/2075/2014, de 6 de noviembre, por la que se establecen los criterios de cálculo del coste efectivo de los servicios prestados por Entidades Locales</w:t>
      </w:r>
    </w:p>
    <w:p w:rsidR="00EE2B7B" w:rsidRPr="00BF4D5E" w:rsidRDefault="003F4BBE" w:rsidP="00BF4D5E">
      <w:pPr>
        <w:jc w:val="both"/>
        <w:rPr>
          <w:b/>
        </w:rPr>
      </w:pPr>
      <w:r w:rsidRPr="00BF4D5E">
        <w:rPr>
          <w:b/>
        </w:rPr>
        <w:t xml:space="preserve">Los costes efectivos de los servicios prestados por el Ayuntamiento de </w:t>
      </w:r>
      <w:r w:rsidR="003901A0">
        <w:rPr>
          <w:b/>
        </w:rPr>
        <w:t>Cuevas de San Marcos</w:t>
      </w:r>
      <w:r w:rsidRPr="00BF4D5E">
        <w:rPr>
          <w:b/>
        </w:rPr>
        <w:t xml:space="preserve"> en el año 2013 son los siguientes:</w:t>
      </w:r>
    </w:p>
    <w:tbl>
      <w:tblPr>
        <w:tblStyle w:val="Tablaconcuadrcula"/>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5920"/>
        <w:gridCol w:w="1559"/>
      </w:tblGrid>
      <w:tr w:rsidR="00BF4D5E" w:rsidTr="00BF4D5E">
        <w:trPr>
          <w:jc w:val="center"/>
        </w:trPr>
        <w:tc>
          <w:tcPr>
            <w:tcW w:w="5920" w:type="dxa"/>
            <w:tcBorders>
              <w:bottom w:val="single" w:sz="8" w:space="0" w:color="FFFFFF" w:themeColor="background1"/>
            </w:tcBorders>
            <w:shd w:val="clear" w:color="auto" w:fill="76923C" w:themeFill="accent3" w:themeFillShade="BF"/>
          </w:tcPr>
          <w:p w:rsidR="00BF4D5E" w:rsidRPr="00BF4D5E" w:rsidRDefault="00BF4D5E" w:rsidP="00BF4D5E">
            <w:pPr>
              <w:jc w:val="center"/>
              <w:rPr>
                <w:b/>
                <w:sz w:val="20"/>
                <w:szCs w:val="20"/>
              </w:rPr>
            </w:pPr>
            <w:r w:rsidRPr="00BF4D5E">
              <w:rPr>
                <w:b/>
                <w:sz w:val="20"/>
                <w:szCs w:val="20"/>
              </w:rPr>
              <w:t>ÁREA DE GASTO</w:t>
            </w:r>
          </w:p>
        </w:tc>
        <w:tc>
          <w:tcPr>
            <w:tcW w:w="1559" w:type="dxa"/>
            <w:tcBorders>
              <w:bottom w:val="single" w:sz="8" w:space="0" w:color="FFFFFF" w:themeColor="background1"/>
            </w:tcBorders>
            <w:shd w:val="clear" w:color="auto" w:fill="76923C" w:themeFill="accent3" w:themeFillShade="BF"/>
          </w:tcPr>
          <w:p w:rsidR="00BF4D5E" w:rsidRPr="00BF4D5E" w:rsidRDefault="00BF4D5E" w:rsidP="00BF4D5E">
            <w:pPr>
              <w:jc w:val="center"/>
              <w:rPr>
                <w:rFonts w:ascii="Calibri" w:hAnsi="Calibri" w:cs="Calibri"/>
                <w:b/>
                <w:color w:val="000000"/>
              </w:rPr>
            </w:pPr>
            <w:r w:rsidRPr="00BF4D5E">
              <w:rPr>
                <w:rFonts w:ascii="Calibri" w:hAnsi="Calibri" w:cs="Calibri"/>
                <w:b/>
                <w:color w:val="000000"/>
              </w:rPr>
              <w:t>COSTE (€)</w:t>
            </w:r>
          </w:p>
        </w:tc>
      </w:tr>
      <w:tr w:rsidR="00EE2B7B" w:rsidTr="00BF4D5E">
        <w:trPr>
          <w:jc w:val="center"/>
        </w:trPr>
        <w:tc>
          <w:tcPr>
            <w:tcW w:w="5920" w:type="dxa"/>
            <w:shd w:val="clear" w:color="auto" w:fill="C2D69B" w:themeFill="accent3" w:themeFillTint="99"/>
          </w:tcPr>
          <w:p w:rsidR="00EE2B7B" w:rsidRPr="00BF4D5E" w:rsidRDefault="00BF4D5E">
            <w:pPr>
              <w:rPr>
                <w:sz w:val="20"/>
                <w:szCs w:val="20"/>
              </w:rPr>
            </w:pPr>
            <w:r>
              <w:rPr>
                <w:sz w:val="20"/>
                <w:szCs w:val="20"/>
              </w:rPr>
              <w:t>0. Deuda Pública</w:t>
            </w:r>
          </w:p>
        </w:tc>
        <w:tc>
          <w:tcPr>
            <w:tcW w:w="1559" w:type="dxa"/>
            <w:shd w:val="clear" w:color="auto" w:fill="C2D69B" w:themeFill="accent3" w:themeFillTint="99"/>
          </w:tcPr>
          <w:p w:rsidR="00EE2B7B" w:rsidRPr="00EE2B7B" w:rsidRDefault="003901A0" w:rsidP="00EE2B7B">
            <w:pPr>
              <w:jc w:val="right"/>
              <w:rPr>
                <w:rFonts w:ascii="Calibri" w:hAnsi="Calibri" w:cs="Calibri"/>
                <w:color w:val="000000"/>
              </w:rPr>
            </w:pPr>
            <w:r w:rsidRPr="003901A0">
              <w:rPr>
                <w:rFonts w:ascii="Calibri" w:hAnsi="Calibri" w:cs="Calibri"/>
                <w:color w:val="000000"/>
              </w:rPr>
              <w:t>66</w:t>
            </w:r>
            <w:r>
              <w:rPr>
                <w:rFonts w:ascii="Calibri" w:hAnsi="Calibri" w:cs="Calibri"/>
                <w:color w:val="000000"/>
              </w:rPr>
              <w:t>.</w:t>
            </w:r>
            <w:r w:rsidRPr="003901A0">
              <w:rPr>
                <w:rFonts w:ascii="Calibri" w:hAnsi="Calibri" w:cs="Calibri"/>
                <w:color w:val="000000"/>
              </w:rPr>
              <w:t>711,43</w:t>
            </w:r>
            <w:r w:rsidR="00D870E9">
              <w:rPr>
                <w:rFonts w:ascii="Calibri" w:hAnsi="Calibri" w:cs="Calibri"/>
                <w:color w:val="000000"/>
              </w:rPr>
              <w:t>€</w:t>
            </w:r>
          </w:p>
        </w:tc>
      </w:tr>
      <w:tr w:rsidR="00EE2B7B" w:rsidTr="00BF4D5E">
        <w:trPr>
          <w:jc w:val="center"/>
        </w:trPr>
        <w:tc>
          <w:tcPr>
            <w:tcW w:w="5920" w:type="dxa"/>
            <w:shd w:val="clear" w:color="auto" w:fill="C2D69B" w:themeFill="accent3" w:themeFillTint="99"/>
          </w:tcPr>
          <w:p w:rsidR="00EE2B7B" w:rsidRPr="00BF4D5E" w:rsidRDefault="00BF4D5E" w:rsidP="00BF4D5E">
            <w:pPr>
              <w:rPr>
                <w:sz w:val="20"/>
                <w:szCs w:val="20"/>
              </w:rPr>
            </w:pPr>
            <w:r>
              <w:rPr>
                <w:sz w:val="20"/>
                <w:szCs w:val="20"/>
              </w:rPr>
              <w:t xml:space="preserve">1. Servicios Públicos Básicos </w:t>
            </w:r>
          </w:p>
        </w:tc>
        <w:tc>
          <w:tcPr>
            <w:tcW w:w="1559" w:type="dxa"/>
            <w:shd w:val="clear" w:color="auto" w:fill="C2D69B" w:themeFill="accent3" w:themeFillTint="99"/>
          </w:tcPr>
          <w:p w:rsidR="00EE2B7B" w:rsidRPr="00EE2B7B" w:rsidRDefault="003901A0" w:rsidP="00D870E9">
            <w:pPr>
              <w:jc w:val="right"/>
              <w:rPr>
                <w:rFonts w:ascii="Calibri" w:hAnsi="Calibri" w:cs="Calibri"/>
                <w:color w:val="000000"/>
              </w:rPr>
            </w:pPr>
            <w:r w:rsidRPr="003901A0">
              <w:rPr>
                <w:rFonts w:ascii="Calibri" w:hAnsi="Calibri" w:cs="Calibri"/>
                <w:color w:val="000000"/>
              </w:rPr>
              <w:t>1</w:t>
            </w:r>
            <w:r>
              <w:rPr>
                <w:rFonts w:ascii="Calibri" w:hAnsi="Calibri" w:cs="Calibri"/>
                <w:color w:val="000000"/>
              </w:rPr>
              <w:t>.</w:t>
            </w:r>
            <w:r w:rsidRPr="003901A0">
              <w:rPr>
                <w:rFonts w:ascii="Calibri" w:hAnsi="Calibri" w:cs="Calibri"/>
                <w:color w:val="000000"/>
              </w:rPr>
              <w:t>324</w:t>
            </w:r>
            <w:r>
              <w:rPr>
                <w:rFonts w:ascii="Calibri" w:hAnsi="Calibri" w:cs="Calibri"/>
                <w:color w:val="000000"/>
              </w:rPr>
              <w:t>.</w:t>
            </w:r>
            <w:r w:rsidRPr="003901A0">
              <w:rPr>
                <w:rFonts w:ascii="Calibri" w:hAnsi="Calibri" w:cs="Calibri"/>
                <w:color w:val="000000"/>
              </w:rPr>
              <w:t>063,86</w:t>
            </w:r>
            <w:r w:rsidR="00D870E9">
              <w:rPr>
                <w:rFonts w:ascii="Calibri" w:hAnsi="Calibri" w:cs="Calibri"/>
                <w:color w:val="000000"/>
              </w:rPr>
              <w:t>€</w:t>
            </w:r>
          </w:p>
        </w:tc>
      </w:tr>
      <w:tr w:rsidR="00EE2B7B" w:rsidTr="00BF4D5E">
        <w:trPr>
          <w:jc w:val="center"/>
        </w:trPr>
        <w:tc>
          <w:tcPr>
            <w:tcW w:w="5920" w:type="dxa"/>
            <w:shd w:val="clear" w:color="auto" w:fill="C2D69B" w:themeFill="accent3" w:themeFillTint="99"/>
          </w:tcPr>
          <w:p w:rsidR="00EE2B7B" w:rsidRPr="00BF4D5E" w:rsidRDefault="00BF4D5E" w:rsidP="00BF4D5E">
            <w:pPr>
              <w:rPr>
                <w:sz w:val="20"/>
                <w:szCs w:val="20"/>
              </w:rPr>
            </w:pPr>
            <w:r>
              <w:rPr>
                <w:sz w:val="20"/>
                <w:szCs w:val="20"/>
              </w:rPr>
              <w:t xml:space="preserve">2. Actuaciones de protección y promoción social </w:t>
            </w:r>
          </w:p>
        </w:tc>
        <w:tc>
          <w:tcPr>
            <w:tcW w:w="1559" w:type="dxa"/>
            <w:shd w:val="clear" w:color="auto" w:fill="C2D69B" w:themeFill="accent3" w:themeFillTint="99"/>
          </w:tcPr>
          <w:p w:rsidR="00EE2B7B" w:rsidRPr="00EE2B7B" w:rsidRDefault="003901A0" w:rsidP="00D870E9">
            <w:pPr>
              <w:jc w:val="right"/>
              <w:rPr>
                <w:rFonts w:ascii="Calibri" w:hAnsi="Calibri" w:cs="Calibri"/>
                <w:color w:val="000000"/>
              </w:rPr>
            </w:pPr>
            <w:r w:rsidRPr="003901A0">
              <w:rPr>
                <w:rFonts w:ascii="Calibri" w:hAnsi="Calibri" w:cs="Calibri"/>
                <w:color w:val="000000"/>
              </w:rPr>
              <w:t>539</w:t>
            </w:r>
            <w:r>
              <w:rPr>
                <w:rFonts w:ascii="Calibri" w:hAnsi="Calibri" w:cs="Calibri"/>
                <w:color w:val="000000"/>
              </w:rPr>
              <w:t>.</w:t>
            </w:r>
            <w:r w:rsidRPr="003901A0">
              <w:rPr>
                <w:rFonts w:ascii="Calibri" w:hAnsi="Calibri" w:cs="Calibri"/>
                <w:color w:val="000000"/>
              </w:rPr>
              <w:t>686,71</w:t>
            </w:r>
            <w:r w:rsidR="00D870E9">
              <w:rPr>
                <w:rFonts w:ascii="Calibri" w:hAnsi="Calibri" w:cs="Calibri"/>
                <w:color w:val="000000"/>
              </w:rPr>
              <w:t>€</w:t>
            </w:r>
          </w:p>
        </w:tc>
      </w:tr>
      <w:tr w:rsidR="00EE2B7B" w:rsidTr="00BF4D5E">
        <w:trPr>
          <w:jc w:val="center"/>
        </w:trPr>
        <w:tc>
          <w:tcPr>
            <w:tcW w:w="5920" w:type="dxa"/>
            <w:shd w:val="clear" w:color="auto" w:fill="C2D69B" w:themeFill="accent3" w:themeFillTint="99"/>
          </w:tcPr>
          <w:p w:rsidR="00EE2B7B" w:rsidRPr="00BF4D5E" w:rsidRDefault="00BF4D5E" w:rsidP="00BF4D5E">
            <w:pPr>
              <w:rPr>
                <w:sz w:val="20"/>
                <w:szCs w:val="20"/>
              </w:rPr>
            </w:pPr>
            <w:r>
              <w:rPr>
                <w:sz w:val="20"/>
                <w:szCs w:val="20"/>
              </w:rPr>
              <w:t xml:space="preserve">3. Producción de bienes públicos de carácter preferente </w:t>
            </w:r>
          </w:p>
        </w:tc>
        <w:tc>
          <w:tcPr>
            <w:tcW w:w="1559" w:type="dxa"/>
            <w:shd w:val="clear" w:color="auto" w:fill="C2D69B" w:themeFill="accent3" w:themeFillTint="99"/>
          </w:tcPr>
          <w:p w:rsidR="00EE2B7B" w:rsidRPr="00EE2B7B" w:rsidRDefault="003901A0" w:rsidP="00D870E9">
            <w:pPr>
              <w:jc w:val="right"/>
              <w:rPr>
                <w:rFonts w:ascii="Calibri" w:hAnsi="Calibri" w:cs="Calibri"/>
                <w:color w:val="000000"/>
              </w:rPr>
            </w:pPr>
            <w:r w:rsidRPr="003901A0">
              <w:rPr>
                <w:rFonts w:ascii="Calibri" w:hAnsi="Calibri" w:cs="Calibri"/>
                <w:color w:val="000000"/>
              </w:rPr>
              <w:t>589</w:t>
            </w:r>
            <w:r>
              <w:rPr>
                <w:rFonts w:ascii="Calibri" w:hAnsi="Calibri" w:cs="Calibri"/>
                <w:color w:val="000000"/>
              </w:rPr>
              <w:t>.</w:t>
            </w:r>
            <w:r w:rsidRPr="003901A0">
              <w:rPr>
                <w:rFonts w:ascii="Calibri" w:hAnsi="Calibri" w:cs="Calibri"/>
                <w:color w:val="000000"/>
              </w:rPr>
              <w:t>496,97</w:t>
            </w:r>
            <w:r w:rsidR="00D870E9">
              <w:rPr>
                <w:rFonts w:ascii="Calibri" w:hAnsi="Calibri" w:cs="Calibri"/>
                <w:color w:val="000000"/>
              </w:rPr>
              <w:t>€</w:t>
            </w:r>
          </w:p>
        </w:tc>
      </w:tr>
      <w:tr w:rsidR="00EE2B7B" w:rsidTr="00BF4D5E">
        <w:trPr>
          <w:jc w:val="center"/>
        </w:trPr>
        <w:tc>
          <w:tcPr>
            <w:tcW w:w="5920" w:type="dxa"/>
            <w:shd w:val="clear" w:color="auto" w:fill="C2D69B" w:themeFill="accent3" w:themeFillTint="99"/>
          </w:tcPr>
          <w:p w:rsidR="00EE2B7B" w:rsidRPr="00BF4D5E" w:rsidRDefault="00BF4D5E" w:rsidP="00BF4D5E">
            <w:pPr>
              <w:rPr>
                <w:sz w:val="20"/>
                <w:szCs w:val="20"/>
              </w:rPr>
            </w:pPr>
            <w:r>
              <w:rPr>
                <w:sz w:val="20"/>
                <w:szCs w:val="20"/>
              </w:rPr>
              <w:t xml:space="preserve">4. Actuaciones de carácter económico </w:t>
            </w:r>
          </w:p>
        </w:tc>
        <w:tc>
          <w:tcPr>
            <w:tcW w:w="1559" w:type="dxa"/>
            <w:shd w:val="clear" w:color="auto" w:fill="C2D69B" w:themeFill="accent3" w:themeFillTint="99"/>
          </w:tcPr>
          <w:p w:rsidR="00EE2B7B" w:rsidRPr="00EE2B7B" w:rsidRDefault="003901A0" w:rsidP="00D870E9">
            <w:pPr>
              <w:jc w:val="right"/>
              <w:rPr>
                <w:rFonts w:ascii="Calibri" w:hAnsi="Calibri" w:cs="Calibri"/>
                <w:color w:val="000000"/>
              </w:rPr>
            </w:pPr>
            <w:r w:rsidRPr="003901A0">
              <w:rPr>
                <w:rFonts w:ascii="Calibri" w:hAnsi="Calibri" w:cs="Calibri"/>
                <w:color w:val="000000"/>
              </w:rPr>
              <w:t>93</w:t>
            </w:r>
            <w:r>
              <w:rPr>
                <w:rFonts w:ascii="Calibri" w:hAnsi="Calibri" w:cs="Calibri"/>
                <w:color w:val="000000"/>
              </w:rPr>
              <w:t>.</w:t>
            </w:r>
            <w:r w:rsidRPr="003901A0">
              <w:rPr>
                <w:rFonts w:ascii="Calibri" w:hAnsi="Calibri" w:cs="Calibri"/>
                <w:color w:val="000000"/>
              </w:rPr>
              <w:t>651,55</w:t>
            </w:r>
            <w:r w:rsidR="00D870E9">
              <w:rPr>
                <w:rFonts w:ascii="Calibri" w:hAnsi="Calibri" w:cs="Calibri"/>
                <w:color w:val="000000"/>
              </w:rPr>
              <w:t>€</w:t>
            </w:r>
          </w:p>
        </w:tc>
      </w:tr>
      <w:tr w:rsidR="00EE2B7B" w:rsidTr="00BF4D5E">
        <w:trPr>
          <w:jc w:val="center"/>
        </w:trPr>
        <w:tc>
          <w:tcPr>
            <w:tcW w:w="5920" w:type="dxa"/>
            <w:shd w:val="clear" w:color="auto" w:fill="C2D69B" w:themeFill="accent3" w:themeFillTint="99"/>
          </w:tcPr>
          <w:p w:rsidR="00EE2B7B" w:rsidRPr="00BF4D5E" w:rsidRDefault="00BF4D5E" w:rsidP="00BF4D5E">
            <w:pPr>
              <w:rPr>
                <w:sz w:val="20"/>
                <w:szCs w:val="20"/>
              </w:rPr>
            </w:pPr>
            <w:r>
              <w:rPr>
                <w:sz w:val="20"/>
                <w:szCs w:val="20"/>
              </w:rPr>
              <w:t xml:space="preserve">5. Actuaciones de carácter general </w:t>
            </w:r>
          </w:p>
        </w:tc>
        <w:tc>
          <w:tcPr>
            <w:tcW w:w="1559" w:type="dxa"/>
            <w:shd w:val="clear" w:color="auto" w:fill="C2D69B" w:themeFill="accent3" w:themeFillTint="99"/>
          </w:tcPr>
          <w:p w:rsidR="00EE2B7B" w:rsidRPr="00EE2B7B" w:rsidRDefault="003901A0" w:rsidP="00D870E9">
            <w:pPr>
              <w:jc w:val="right"/>
              <w:rPr>
                <w:rFonts w:ascii="Calibri" w:hAnsi="Calibri" w:cs="Calibri"/>
                <w:color w:val="000000"/>
              </w:rPr>
            </w:pPr>
            <w:r w:rsidRPr="003901A0">
              <w:rPr>
                <w:rFonts w:ascii="Calibri" w:hAnsi="Calibri" w:cs="Calibri"/>
                <w:color w:val="000000"/>
              </w:rPr>
              <w:t>362</w:t>
            </w:r>
            <w:r>
              <w:rPr>
                <w:rFonts w:ascii="Calibri" w:hAnsi="Calibri" w:cs="Calibri"/>
                <w:color w:val="000000"/>
              </w:rPr>
              <w:t>.</w:t>
            </w:r>
            <w:r w:rsidRPr="003901A0">
              <w:rPr>
                <w:rFonts w:ascii="Calibri" w:hAnsi="Calibri" w:cs="Calibri"/>
                <w:color w:val="000000"/>
              </w:rPr>
              <w:t>344,75</w:t>
            </w:r>
            <w:r w:rsidR="00D870E9">
              <w:rPr>
                <w:rFonts w:ascii="Calibri" w:hAnsi="Calibri" w:cs="Calibri"/>
                <w:color w:val="000000"/>
              </w:rPr>
              <w:t>€</w:t>
            </w:r>
          </w:p>
        </w:tc>
      </w:tr>
    </w:tbl>
    <w:p w:rsidR="00EE2B7B" w:rsidRPr="00BF4D5E" w:rsidRDefault="00BF4D5E" w:rsidP="00BF4D5E">
      <w:pPr>
        <w:spacing w:after="0" w:line="240" w:lineRule="auto"/>
        <w:ind w:right="567"/>
        <w:jc w:val="right"/>
        <w:rPr>
          <w:b/>
          <w:sz w:val="14"/>
          <w:szCs w:val="14"/>
        </w:rPr>
      </w:pPr>
      <w:r w:rsidRPr="00BF4D5E">
        <w:rPr>
          <w:b/>
          <w:sz w:val="14"/>
          <w:szCs w:val="14"/>
        </w:rPr>
        <w:t>Oficina Virtual para la Coordinación Financiera con las Entidades Locales</w:t>
      </w:r>
    </w:p>
    <w:p w:rsidR="00BF4D5E" w:rsidRPr="00BF4D5E" w:rsidRDefault="00BF4D5E" w:rsidP="00BF4D5E">
      <w:pPr>
        <w:spacing w:after="0" w:line="240" w:lineRule="auto"/>
        <w:ind w:right="567"/>
        <w:jc w:val="right"/>
        <w:rPr>
          <w:b/>
          <w:sz w:val="14"/>
          <w:szCs w:val="14"/>
        </w:rPr>
      </w:pPr>
      <w:r w:rsidRPr="00BF4D5E">
        <w:rPr>
          <w:b/>
          <w:sz w:val="14"/>
          <w:szCs w:val="14"/>
        </w:rPr>
        <w:t>Ministerio de Hacienda y Administraciones Públicas</w:t>
      </w:r>
    </w:p>
    <w:sectPr w:rsidR="00BF4D5E" w:rsidRPr="00BF4D5E" w:rsidSect="002C4F7C">
      <w:pgSz w:w="11907" w:h="16840" w:code="9"/>
      <w:pgMar w:top="1417"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2B7B"/>
    <w:rsid w:val="00146740"/>
    <w:rsid w:val="002B4548"/>
    <w:rsid w:val="002C3B66"/>
    <w:rsid w:val="002C4F7C"/>
    <w:rsid w:val="00371E5C"/>
    <w:rsid w:val="003901A0"/>
    <w:rsid w:val="003F4BBE"/>
    <w:rsid w:val="004446A3"/>
    <w:rsid w:val="00514AD1"/>
    <w:rsid w:val="005740C7"/>
    <w:rsid w:val="005C17D4"/>
    <w:rsid w:val="006A759D"/>
    <w:rsid w:val="0074731A"/>
    <w:rsid w:val="00777994"/>
    <w:rsid w:val="00906A88"/>
    <w:rsid w:val="009F3D52"/>
    <w:rsid w:val="00A4201C"/>
    <w:rsid w:val="00A60570"/>
    <w:rsid w:val="00BF4D5E"/>
    <w:rsid w:val="00C23A63"/>
    <w:rsid w:val="00CE68E5"/>
    <w:rsid w:val="00D870E9"/>
    <w:rsid w:val="00E12074"/>
    <w:rsid w:val="00E958F3"/>
    <w:rsid w:val="00EE2B7B"/>
    <w:rsid w:val="00F21E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F4BBE"/>
  </w:style>
  <w:style w:type="character" w:customStyle="1" w:styleId="object">
    <w:name w:val="object"/>
    <w:basedOn w:val="Fuentedeprrafopredeter"/>
    <w:rsid w:val="003F4BBE"/>
  </w:style>
  <w:style w:type="character" w:styleId="Hipervnculo">
    <w:name w:val="Hyperlink"/>
    <w:basedOn w:val="Fuentedeprrafopredeter"/>
    <w:uiPriority w:val="99"/>
    <w:semiHidden/>
    <w:unhideWhenUsed/>
    <w:rsid w:val="003F4BBE"/>
    <w:rPr>
      <w:color w:val="0000FF"/>
      <w:u w:val="single"/>
    </w:rPr>
  </w:style>
</w:styles>
</file>

<file path=word/webSettings.xml><?xml version="1.0" encoding="utf-8"?>
<w:webSettings xmlns:r="http://schemas.openxmlformats.org/officeDocument/2006/relationships" xmlns:w="http://schemas.openxmlformats.org/wordprocessingml/2006/main">
  <w:divs>
    <w:div w:id="275410518">
      <w:bodyDiv w:val="1"/>
      <w:marLeft w:val="0"/>
      <w:marRight w:val="0"/>
      <w:marTop w:val="0"/>
      <w:marBottom w:val="0"/>
      <w:divBdr>
        <w:top w:val="none" w:sz="0" w:space="0" w:color="auto"/>
        <w:left w:val="none" w:sz="0" w:space="0" w:color="auto"/>
        <w:bottom w:val="none" w:sz="0" w:space="0" w:color="auto"/>
        <w:right w:val="none" w:sz="0" w:space="0" w:color="auto"/>
      </w:divBdr>
    </w:div>
    <w:div w:id="365910811">
      <w:bodyDiv w:val="1"/>
      <w:marLeft w:val="0"/>
      <w:marRight w:val="0"/>
      <w:marTop w:val="0"/>
      <w:marBottom w:val="0"/>
      <w:divBdr>
        <w:top w:val="none" w:sz="0" w:space="0" w:color="auto"/>
        <w:left w:val="none" w:sz="0" w:space="0" w:color="auto"/>
        <w:bottom w:val="none" w:sz="0" w:space="0" w:color="auto"/>
        <w:right w:val="none" w:sz="0" w:space="0" w:color="auto"/>
      </w:divBdr>
    </w:div>
    <w:div w:id="422844156">
      <w:bodyDiv w:val="1"/>
      <w:marLeft w:val="0"/>
      <w:marRight w:val="0"/>
      <w:marTop w:val="0"/>
      <w:marBottom w:val="0"/>
      <w:divBdr>
        <w:top w:val="none" w:sz="0" w:space="0" w:color="auto"/>
        <w:left w:val="none" w:sz="0" w:space="0" w:color="auto"/>
        <w:bottom w:val="none" w:sz="0" w:space="0" w:color="auto"/>
        <w:right w:val="none" w:sz="0" w:space="0" w:color="auto"/>
      </w:divBdr>
    </w:div>
    <w:div w:id="488642597">
      <w:bodyDiv w:val="1"/>
      <w:marLeft w:val="0"/>
      <w:marRight w:val="0"/>
      <w:marTop w:val="0"/>
      <w:marBottom w:val="0"/>
      <w:divBdr>
        <w:top w:val="none" w:sz="0" w:space="0" w:color="auto"/>
        <w:left w:val="none" w:sz="0" w:space="0" w:color="auto"/>
        <w:bottom w:val="none" w:sz="0" w:space="0" w:color="auto"/>
        <w:right w:val="none" w:sz="0" w:space="0" w:color="auto"/>
      </w:divBdr>
    </w:div>
    <w:div w:id="658313777">
      <w:bodyDiv w:val="1"/>
      <w:marLeft w:val="0"/>
      <w:marRight w:val="0"/>
      <w:marTop w:val="0"/>
      <w:marBottom w:val="0"/>
      <w:divBdr>
        <w:top w:val="none" w:sz="0" w:space="0" w:color="auto"/>
        <w:left w:val="none" w:sz="0" w:space="0" w:color="auto"/>
        <w:bottom w:val="none" w:sz="0" w:space="0" w:color="auto"/>
        <w:right w:val="none" w:sz="0" w:space="0" w:color="auto"/>
      </w:divBdr>
    </w:div>
    <w:div w:id="790628893">
      <w:bodyDiv w:val="1"/>
      <w:marLeft w:val="0"/>
      <w:marRight w:val="0"/>
      <w:marTop w:val="0"/>
      <w:marBottom w:val="0"/>
      <w:divBdr>
        <w:top w:val="none" w:sz="0" w:space="0" w:color="auto"/>
        <w:left w:val="none" w:sz="0" w:space="0" w:color="auto"/>
        <w:bottom w:val="none" w:sz="0" w:space="0" w:color="auto"/>
        <w:right w:val="none" w:sz="0" w:space="0" w:color="auto"/>
      </w:divBdr>
    </w:div>
    <w:div w:id="873536532">
      <w:bodyDiv w:val="1"/>
      <w:marLeft w:val="0"/>
      <w:marRight w:val="0"/>
      <w:marTop w:val="0"/>
      <w:marBottom w:val="0"/>
      <w:divBdr>
        <w:top w:val="none" w:sz="0" w:space="0" w:color="auto"/>
        <w:left w:val="none" w:sz="0" w:space="0" w:color="auto"/>
        <w:bottom w:val="none" w:sz="0" w:space="0" w:color="auto"/>
        <w:right w:val="none" w:sz="0" w:space="0" w:color="auto"/>
      </w:divBdr>
    </w:div>
    <w:div w:id="957680321">
      <w:bodyDiv w:val="1"/>
      <w:marLeft w:val="0"/>
      <w:marRight w:val="0"/>
      <w:marTop w:val="0"/>
      <w:marBottom w:val="0"/>
      <w:divBdr>
        <w:top w:val="none" w:sz="0" w:space="0" w:color="auto"/>
        <w:left w:val="none" w:sz="0" w:space="0" w:color="auto"/>
        <w:bottom w:val="none" w:sz="0" w:space="0" w:color="auto"/>
        <w:right w:val="none" w:sz="0" w:space="0" w:color="auto"/>
      </w:divBdr>
    </w:div>
    <w:div w:id="1578590562">
      <w:bodyDiv w:val="1"/>
      <w:marLeft w:val="0"/>
      <w:marRight w:val="0"/>
      <w:marTop w:val="0"/>
      <w:marBottom w:val="0"/>
      <w:divBdr>
        <w:top w:val="none" w:sz="0" w:space="0" w:color="auto"/>
        <w:left w:val="none" w:sz="0" w:space="0" w:color="auto"/>
        <w:bottom w:val="none" w:sz="0" w:space="0" w:color="auto"/>
        <w:right w:val="none" w:sz="0" w:space="0" w:color="auto"/>
      </w:divBdr>
    </w:div>
    <w:div w:id="1716656661">
      <w:bodyDiv w:val="1"/>
      <w:marLeft w:val="0"/>
      <w:marRight w:val="0"/>
      <w:marTop w:val="0"/>
      <w:marBottom w:val="0"/>
      <w:divBdr>
        <w:top w:val="none" w:sz="0" w:space="0" w:color="auto"/>
        <w:left w:val="none" w:sz="0" w:space="0" w:color="auto"/>
        <w:bottom w:val="none" w:sz="0" w:space="0" w:color="auto"/>
        <w:right w:val="none" w:sz="0" w:space="0" w:color="auto"/>
      </w:divBdr>
    </w:div>
    <w:div w:id="1884711196">
      <w:bodyDiv w:val="1"/>
      <w:marLeft w:val="0"/>
      <w:marRight w:val="0"/>
      <w:marTop w:val="0"/>
      <w:marBottom w:val="0"/>
      <w:divBdr>
        <w:top w:val="none" w:sz="0" w:space="0" w:color="auto"/>
        <w:left w:val="none" w:sz="0" w:space="0" w:color="auto"/>
        <w:bottom w:val="none" w:sz="0" w:space="0" w:color="auto"/>
        <w:right w:val="none" w:sz="0" w:space="0" w:color="auto"/>
      </w:divBdr>
    </w:div>
    <w:div w:id="21396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268</Words>
  <Characters>1479</Characters>
  <Application/>
  <DocSecurity>0</DocSecurity>
  <Lines>12</Lines>
  <Paragraphs>3</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1744</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